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2F08" w:rsidRDefault="00B82F08">
      <w:pPr>
        <w:ind w:firstLine="480"/>
      </w:pPr>
    </w:p>
    <w:p w:rsidR="00B82F08" w:rsidRDefault="00BD50F2">
      <w:pPr>
        <w:pStyle w:val="1"/>
        <w:ind w:left="23" w:hanging="145"/>
      </w:pPr>
      <w:r>
        <w:rPr>
          <w:rFonts w:hint="eastAsia"/>
        </w:rPr>
        <w:t>S</w:t>
      </w:r>
      <w:r w:rsidR="00641BD4">
        <w:t>CIENTZ</w:t>
      </w:r>
      <w:r>
        <w:rPr>
          <w:rFonts w:hint="eastAsia"/>
        </w:rPr>
        <w:t>-WSQ</w:t>
      </w:r>
      <w:r>
        <w:rPr>
          <w:rFonts w:hint="eastAsia"/>
        </w:rPr>
        <w:t>全自动微生物生长曲线分析仪</w:t>
      </w:r>
    </w:p>
    <w:p w:rsidR="00BA30BB" w:rsidRDefault="00BD50F2" w:rsidP="00BA30BB">
      <w:pPr>
        <w:pStyle w:val="2"/>
        <w:numPr>
          <w:ilvl w:val="0"/>
          <w:numId w:val="2"/>
        </w:numPr>
        <w:spacing w:line="300" w:lineRule="auto"/>
        <w:ind w:firstLineChars="0"/>
      </w:pPr>
      <w:r>
        <w:rPr>
          <w:rFonts w:hint="eastAsia"/>
        </w:rPr>
        <w:t>产品说明</w:t>
      </w:r>
    </w:p>
    <w:p w:rsidR="00BA30BB" w:rsidRPr="00BA30BB" w:rsidRDefault="00BA30BB" w:rsidP="00BA30BB">
      <w:pPr>
        <w:pStyle w:val="2"/>
        <w:spacing w:line="300" w:lineRule="auto"/>
        <w:ind w:firstLineChars="150" w:firstLine="360"/>
        <w:rPr>
          <w:rStyle w:val="fontstyle01"/>
          <w:rFonts w:ascii="宋体" w:eastAsia="宋体" w:hAnsi="宋体"/>
          <w:b/>
          <w:bCs/>
          <w:color w:val="auto"/>
          <w:sz w:val="24"/>
          <w:szCs w:val="24"/>
        </w:rPr>
      </w:pPr>
      <w:r w:rsidRPr="00BA30BB">
        <w:rPr>
          <w:rStyle w:val="fontstyle01"/>
          <w:rFonts w:ascii="宋体" w:eastAsia="宋体" w:hAnsi="宋体"/>
          <w:color w:val="auto"/>
          <w:sz w:val="24"/>
          <w:szCs w:val="24"/>
        </w:rPr>
        <w:t>全自动微生物生长曲线分析仪是利用比浊法绘制微生物生长曲线原理，并整合控温震荡培养功能于一体，为实现多种微生物（包括细菌、真菌、酵母、噬菌体、变形虫、细胞和藻类等）的在线监测培养而开发的一款微生物自动化科研仪器。利用全自动微生物生长曲线分析仪，可以让微生物研究者从枯燥的观测活动中解脱出来，避免熬夜记录数据，同时可以节约大量的实验耗材，在细菌培养、发酵研究、药物毒理实验等微生物研究工作中具有很高的实用价值。</w:t>
      </w:r>
    </w:p>
    <w:p w:rsidR="00B82F08" w:rsidRDefault="0003382E" w:rsidP="00641BD4">
      <w:pPr>
        <w:pStyle w:val="2"/>
        <w:spacing w:line="300" w:lineRule="auto"/>
        <w:ind w:firstLineChars="0" w:firstLine="0"/>
      </w:pPr>
      <w:r>
        <w:rPr>
          <w:rFonts w:hint="eastAsia"/>
        </w:rPr>
        <w:t>2</w:t>
      </w:r>
      <w:r>
        <w:rPr>
          <w:rFonts w:hint="eastAsia"/>
        </w:rPr>
        <w:t>、</w:t>
      </w:r>
      <w:r w:rsidR="00BD50F2">
        <w:rPr>
          <w:rFonts w:hint="eastAsia"/>
        </w:rPr>
        <w:t>性能特点</w:t>
      </w:r>
    </w:p>
    <w:p w:rsidR="0003382E" w:rsidRPr="0003382E" w:rsidRDefault="0003382E" w:rsidP="00641BD4">
      <w:pPr>
        <w:spacing w:line="300" w:lineRule="auto"/>
        <w:rPr>
          <w:rFonts w:hint="eastAsia"/>
          <w:kern w:val="2"/>
          <w:lang w:val="zh-CN"/>
        </w:rPr>
      </w:pPr>
      <w:r w:rsidRPr="0003382E">
        <w:rPr>
          <w:rStyle w:val="fontstyle21"/>
          <w:sz w:val="24"/>
          <w:szCs w:val="24"/>
        </w:rPr>
        <w:t>适用范围广</w:t>
      </w:r>
      <w:r w:rsidRPr="0003382E">
        <w:rPr>
          <w:color w:val="00A2A3"/>
        </w:rPr>
        <w:br/>
      </w:r>
      <w:r w:rsidRPr="0003382E">
        <w:rPr>
          <w:rStyle w:val="fontstyle21"/>
          <w:color w:val="3E3A39"/>
          <w:sz w:val="24"/>
          <w:szCs w:val="24"/>
        </w:rPr>
        <w:t>可实现多种微生物，包括细菌、真菌、酵母、噬菌体、变形虫、细胞和藻类等</w:t>
      </w:r>
      <w:r w:rsidRPr="0003382E">
        <w:rPr>
          <w:color w:val="3E3A39"/>
        </w:rPr>
        <w:br/>
      </w:r>
      <w:r w:rsidRPr="0003382E">
        <w:rPr>
          <w:rStyle w:val="fontstyle21"/>
          <w:color w:val="3E3A39"/>
          <w:sz w:val="24"/>
          <w:szCs w:val="24"/>
        </w:rPr>
        <w:t>在线监测培养</w:t>
      </w:r>
    </w:p>
    <w:p w:rsidR="00B82F08" w:rsidRPr="0003382E" w:rsidRDefault="0003382E" w:rsidP="00641BD4">
      <w:pPr>
        <w:pStyle w:val="aa"/>
        <w:spacing w:line="300" w:lineRule="auto"/>
        <w:ind w:firstLineChars="0" w:firstLine="0"/>
        <w:rPr>
          <w:rStyle w:val="fontstyle21"/>
          <w:color w:val="3E3A39"/>
          <w:sz w:val="24"/>
          <w:szCs w:val="24"/>
        </w:rPr>
      </w:pPr>
      <w:r w:rsidRPr="0003382E">
        <w:rPr>
          <w:rStyle w:val="fontstyle21"/>
          <w:sz w:val="24"/>
          <w:szCs w:val="24"/>
        </w:rPr>
        <w:t>有效解放人力</w:t>
      </w:r>
      <w:r w:rsidRPr="0003382E">
        <w:rPr>
          <w:color w:val="00A2A3"/>
        </w:rPr>
        <w:br/>
      </w:r>
      <w:r w:rsidRPr="0003382E">
        <w:rPr>
          <w:rStyle w:val="fontstyle21"/>
          <w:color w:val="3E3A39"/>
          <w:sz w:val="24"/>
          <w:szCs w:val="24"/>
        </w:rPr>
        <w:t>1. 自动测量，避免熬夜；</w:t>
      </w:r>
      <w:r w:rsidRPr="0003382E">
        <w:rPr>
          <w:color w:val="3E3A39"/>
        </w:rPr>
        <w:br/>
      </w:r>
      <w:r w:rsidRPr="0003382E">
        <w:rPr>
          <w:rStyle w:val="fontstyle21"/>
          <w:color w:val="3E3A39"/>
          <w:sz w:val="24"/>
          <w:szCs w:val="24"/>
        </w:rPr>
        <w:t>2. 自动绘制曲线，减少繁杂的计算绘图；</w:t>
      </w:r>
      <w:r w:rsidRPr="0003382E">
        <w:rPr>
          <w:color w:val="3E3A39"/>
        </w:rPr>
        <w:br/>
      </w:r>
      <w:r w:rsidRPr="0003382E">
        <w:rPr>
          <w:rStyle w:val="fontstyle21"/>
          <w:color w:val="3E3A39"/>
          <w:sz w:val="24"/>
          <w:szCs w:val="24"/>
        </w:rPr>
        <w:t xml:space="preserve">3. 一次可进行多达 36 </w:t>
      </w:r>
      <w:proofErr w:type="gramStart"/>
      <w:r w:rsidRPr="0003382E">
        <w:rPr>
          <w:rStyle w:val="fontstyle21"/>
          <w:color w:val="3E3A39"/>
          <w:sz w:val="24"/>
          <w:szCs w:val="24"/>
        </w:rPr>
        <w:t>个</w:t>
      </w:r>
      <w:proofErr w:type="gramEnd"/>
      <w:r w:rsidRPr="0003382E">
        <w:rPr>
          <w:rStyle w:val="fontstyle21"/>
          <w:color w:val="3E3A39"/>
          <w:sz w:val="24"/>
          <w:szCs w:val="24"/>
        </w:rPr>
        <w:t>样品的测量，互不干扰；</w:t>
      </w:r>
    </w:p>
    <w:p w:rsidR="0003382E" w:rsidRPr="0003382E" w:rsidRDefault="0003382E" w:rsidP="00641BD4">
      <w:pPr>
        <w:pStyle w:val="aa"/>
        <w:spacing w:line="300" w:lineRule="auto"/>
        <w:ind w:firstLineChars="0" w:firstLine="0"/>
        <w:rPr>
          <w:rStyle w:val="fontstyle01"/>
          <w:rFonts w:ascii="宋体" w:hAnsi="宋体"/>
          <w:color w:val="3E3A39"/>
          <w:sz w:val="24"/>
          <w:szCs w:val="24"/>
        </w:rPr>
      </w:pPr>
      <w:r w:rsidRPr="00D756CC">
        <w:rPr>
          <w:rStyle w:val="fontstyle01"/>
          <w:rFonts w:ascii="宋体" w:hAnsi="宋体"/>
          <w:b w:val="0"/>
          <w:sz w:val="24"/>
          <w:szCs w:val="24"/>
        </w:rPr>
        <w:t>过程安全 结果精准</w:t>
      </w:r>
      <w:r w:rsidRPr="0003382E">
        <w:rPr>
          <w:color w:val="00A2A3"/>
        </w:rPr>
        <w:br/>
      </w:r>
      <w:r w:rsidRPr="00D756CC">
        <w:rPr>
          <w:rStyle w:val="fontstyle01"/>
          <w:rFonts w:ascii="宋体" w:hAnsi="宋体"/>
          <w:b w:val="0"/>
          <w:color w:val="3E3A39"/>
          <w:sz w:val="24"/>
          <w:szCs w:val="24"/>
        </w:rPr>
        <w:t>1. 封闭培养与检测，可保证样品不受污染，实验环境安全；</w:t>
      </w:r>
      <w:r w:rsidRPr="00D756CC">
        <w:rPr>
          <w:b/>
          <w:color w:val="3E3A39"/>
        </w:rPr>
        <w:br/>
      </w:r>
      <w:r w:rsidRPr="00D756CC">
        <w:rPr>
          <w:rStyle w:val="fontstyle01"/>
          <w:rFonts w:ascii="宋体" w:hAnsi="宋体"/>
          <w:b w:val="0"/>
          <w:color w:val="3E3A39"/>
          <w:sz w:val="24"/>
          <w:szCs w:val="24"/>
        </w:rPr>
        <w:t>2. 无取样检测相比于取样检测，不损耗样品，实验结果更精准；</w:t>
      </w:r>
    </w:p>
    <w:p w:rsidR="0003382E" w:rsidRPr="0003382E" w:rsidRDefault="0003382E" w:rsidP="00641BD4">
      <w:pPr>
        <w:pStyle w:val="aa"/>
        <w:spacing w:line="300" w:lineRule="auto"/>
        <w:ind w:firstLineChars="0" w:firstLine="0"/>
        <w:rPr>
          <w:rFonts w:hint="eastAsia"/>
        </w:rPr>
      </w:pPr>
      <w:r w:rsidRPr="0003382E">
        <w:rPr>
          <w:rStyle w:val="fontstyle21"/>
          <w:sz w:val="24"/>
          <w:szCs w:val="24"/>
        </w:rPr>
        <w:t>节省试剂耗材</w:t>
      </w:r>
      <w:r w:rsidRPr="0003382E">
        <w:rPr>
          <w:color w:val="00A2A3"/>
        </w:rPr>
        <w:br/>
      </w:r>
      <w:r w:rsidRPr="0003382E">
        <w:rPr>
          <w:rStyle w:val="fontstyle21"/>
          <w:color w:val="3E3A39"/>
          <w:sz w:val="24"/>
          <w:szCs w:val="24"/>
        </w:rPr>
        <w:t>节省 50% 以上试剂；节省 90% 的吸头；节省 100% 的培养皿；</w:t>
      </w:r>
    </w:p>
    <w:p w:rsidR="00B82F08" w:rsidRDefault="0003382E" w:rsidP="00641BD4">
      <w:pPr>
        <w:pStyle w:val="2"/>
        <w:spacing w:line="300" w:lineRule="auto"/>
        <w:ind w:firstLineChars="0" w:firstLine="0"/>
      </w:pPr>
      <w:r>
        <w:rPr>
          <w:rFonts w:hint="eastAsia"/>
        </w:rPr>
        <w:lastRenderedPageBreak/>
        <w:t>3</w:t>
      </w:r>
      <w:r>
        <w:rPr>
          <w:rFonts w:hint="eastAsia"/>
        </w:rPr>
        <w:t>、</w:t>
      </w:r>
      <w:r w:rsidR="00BD50F2">
        <w:rPr>
          <w:rFonts w:hint="eastAsia"/>
        </w:rPr>
        <w:t>仪器参数</w:t>
      </w:r>
    </w:p>
    <w:p w:rsidR="00B82F08" w:rsidRDefault="00BD50F2" w:rsidP="00641BD4">
      <w:pPr>
        <w:pStyle w:val="aa"/>
        <w:spacing w:line="300" w:lineRule="auto"/>
        <w:ind w:firstLineChars="0" w:firstLine="0"/>
      </w:pPr>
      <w:r>
        <w:rPr>
          <w:rFonts w:hint="eastAsia"/>
        </w:rPr>
        <w:t>1: 培养时间和采样间隔可设置. 培养时长最长可达1600小时，采样间隔：5-360分钟可设置</w:t>
      </w:r>
    </w:p>
    <w:p w:rsidR="00B82F08" w:rsidRDefault="00BD50F2" w:rsidP="00641BD4">
      <w:pPr>
        <w:pStyle w:val="aa"/>
        <w:spacing w:line="300" w:lineRule="auto"/>
        <w:ind w:firstLineChars="0" w:firstLine="0"/>
      </w:pPr>
      <w:r>
        <w:rPr>
          <w:rFonts w:hint="eastAsia"/>
        </w:rPr>
        <w:t>2：可在线显示测量值，无需取样，样品无需稀释</w:t>
      </w:r>
    </w:p>
    <w:p w:rsidR="00B82F08" w:rsidRDefault="00924156" w:rsidP="00641BD4">
      <w:pPr>
        <w:pStyle w:val="aa"/>
        <w:spacing w:line="300" w:lineRule="auto"/>
        <w:ind w:firstLineChars="0" w:firstLine="0"/>
        <w:rPr>
          <w:rFonts w:hint="eastAsia"/>
        </w:rPr>
      </w:pPr>
      <w:r>
        <w:t>3</w:t>
      </w:r>
      <w:r w:rsidR="00BD50F2">
        <w:rPr>
          <w:rFonts w:hint="eastAsia"/>
        </w:rPr>
        <w:t>：通道数：36通道，可同时自动进行36个样品的培养和</w:t>
      </w:r>
      <w:r w:rsidR="004B707D">
        <w:rPr>
          <w:rFonts w:hint="eastAsia"/>
        </w:rPr>
        <w:t>测试</w:t>
      </w:r>
      <w:bookmarkStart w:id="0" w:name="_GoBack"/>
      <w:bookmarkEnd w:id="0"/>
    </w:p>
    <w:p w:rsidR="00B82F08" w:rsidRDefault="00924156" w:rsidP="00641BD4">
      <w:pPr>
        <w:pStyle w:val="aa"/>
        <w:spacing w:line="300" w:lineRule="auto"/>
        <w:ind w:firstLineChars="0" w:firstLine="0"/>
      </w:pPr>
      <w:r>
        <w:t>4</w:t>
      </w:r>
      <w:r w:rsidR="00BD50F2">
        <w:rPr>
          <w:rFonts w:hint="eastAsia"/>
        </w:rPr>
        <w:t>：最大培养量：10ml</w:t>
      </w:r>
    </w:p>
    <w:p w:rsidR="00B82F08" w:rsidRDefault="00924156" w:rsidP="00641BD4">
      <w:pPr>
        <w:pStyle w:val="aa"/>
        <w:spacing w:line="300" w:lineRule="auto"/>
        <w:ind w:firstLineChars="0" w:firstLine="0"/>
      </w:pPr>
      <w:r>
        <w:t>5</w:t>
      </w:r>
      <w:r w:rsidR="00BD50F2">
        <w:rPr>
          <w:rFonts w:hint="eastAsia"/>
        </w:rPr>
        <w:t>：通气：可呼吸样品管盖，样品管内外气体可自由交换</w:t>
      </w:r>
    </w:p>
    <w:p w:rsidR="00B82F08" w:rsidRDefault="00924156" w:rsidP="00641BD4">
      <w:pPr>
        <w:pStyle w:val="aa"/>
        <w:spacing w:line="300" w:lineRule="auto"/>
        <w:ind w:firstLineChars="0" w:firstLine="0"/>
      </w:pPr>
      <w:r>
        <w:t>6</w:t>
      </w:r>
      <w:r w:rsidR="00BD50F2">
        <w:rPr>
          <w:rFonts w:hint="eastAsia"/>
        </w:rPr>
        <w:t>：</w:t>
      </w:r>
      <w:proofErr w:type="gramStart"/>
      <w:r w:rsidR="00BD50F2">
        <w:rPr>
          <w:rFonts w:hint="eastAsia"/>
        </w:rPr>
        <w:t>内置震荡</w:t>
      </w:r>
      <w:proofErr w:type="gramEnd"/>
      <w:r w:rsidR="00BD50F2">
        <w:rPr>
          <w:rFonts w:hint="eastAsia"/>
        </w:rPr>
        <w:t>培养，震荡速度可调</w:t>
      </w:r>
      <w:r w:rsidR="00D756CC">
        <w:rPr>
          <w:rFonts w:hint="eastAsia"/>
        </w:rPr>
        <w:t>，</w:t>
      </w:r>
      <w:r w:rsidR="00D756CC">
        <w:rPr>
          <w:rFonts w:hint="eastAsia"/>
        </w:rPr>
        <w:t>转速范围：50-250rp</w:t>
      </w:r>
      <w:r w:rsidR="00D756CC">
        <w:t>m</w:t>
      </w:r>
    </w:p>
    <w:p w:rsidR="00232B58" w:rsidRPr="00C338C8" w:rsidRDefault="00232B58" w:rsidP="00232B58">
      <w:pPr>
        <w:rPr>
          <w:rFonts w:hint="eastAsia"/>
        </w:rPr>
      </w:pPr>
      <w:r>
        <w:t>7</w:t>
      </w:r>
      <w:r>
        <w:rPr>
          <w:rFonts w:hint="eastAsia"/>
        </w:rPr>
        <w:t>：光源：LED光源，平均寿命达</w:t>
      </w:r>
      <w:r>
        <w:t>10000</w:t>
      </w:r>
      <w:r>
        <w:rPr>
          <w:rFonts w:hint="eastAsia"/>
        </w:rPr>
        <w:t>小时</w:t>
      </w:r>
    </w:p>
    <w:p w:rsidR="00B82F08" w:rsidRDefault="00232B58" w:rsidP="00641BD4">
      <w:pPr>
        <w:pStyle w:val="aa"/>
        <w:spacing w:line="300" w:lineRule="auto"/>
        <w:ind w:firstLineChars="0" w:firstLine="0"/>
      </w:pPr>
      <w:r>
        <w:t>8</w:t>
      </w:r>
      <w:r w:rsidR="00BD50F2">
        <w:rPr>
          <w:rFonts w:hint="eastAsia"/>
        </w:rPr>
        <w:t>:  600nm波段光源来测量吸光值。</w:t>
      </w:r>
    </w:p>
    <w:p w:rsidR="000C3536" w:rsidRDefault="00232B58" w:rsidP="00641BD4">
      <w:pPr>
        <w:pStyle w:val="aa"/>
        <w:spacing w:line="300" w:lineRule="auto"/>
        <w:ind w:firstLineChars="0" w:firstLine="0"/>
      </w:pPr>
      <w:r>
        <w:t>9</w:t>
      </w:r>
      <w:r w:rsidR="00BD50F2">
        <w:rPr>
          <w:rFonts w:hint="eastAsia"/>
        </w:rPr>
        <w:t>: 内置混合加热、制冷技术，智能PID温控，温度范围</w:t>
      </w:r>
      <w:r w:rsidR="000C3536">
        <w:rPr>
          <w:rFonts w:hint="eastAsia"/>
        </w:rPr>
        <w:t>：</w:t>
      </w:r>
      <w:r w:rsidR="00BD50F2">
        <w:rPr>
          <w:rFonts w:hint="eastAsia"/>
        </w:rPr>
        <w:t>4℃~</w:t>
      </w:r>
      <w:r w:rsidR="00C14915">
        <w:rPr>
          <w:rFonts w:hint="eastAsia"/>
        </w:rPr>
        <w:t>45</w:t>
      </w:r>
      <w:r w:rsidR="00BD50F2">
        <w:rPr>
          <w:rFonts w:hint="eastAsia"/>
        </w:rPr>
        <w:t>℃</w:t>
      </w:r>
    </w:p>
    <w:p w:rsidR="00B82F08" w:rsidRDefault="00232B58" w:rsidP="00641BD4">
      <w:pPr>
        <w:pStyle w:val="aa"/>
        <w:spacing w:line="300" w:lineRule="auto"/>
        <w:ind w:firstLineChars="0" w:firstLine="0"/>
      </w:pPr>
      <w:r>
        <w:t>10</w:t>
      </w:r>
      <w:r w:rsidR="00BD50F2">
        <w:rPr>
          <w:rFonts w:hint="eastAsia"/>
        </w:rPr>
        <w:t>：操作与显示：32位ARM高速处理器，7英寸彩色触摸屏。</w:t>
      </w:r>
    </w:p>
    <w:p w:rsidR="00B82F08" w:rsidRDefault="00BD50F2" w:rsidP="00641BD4">
      <w:pPr>
        <w:pStyle w:val="aa"/>
        <w:spacing w:line="300" w:lineRule="auto"/>
        <w:ind w:firstLineChars="0" w:firstLine="0"/>
      </w:pPr>
      <w:r>
        <w:rPr>
          <w:rFonts w:hint="eastAsia"/>
        </w:rPr>
        <w:t>1</w:t>
      </w:r>
      <w:r w:rsidR="00232B58">
        <w:t>1</w:t>
      </w:r>
      <w:r>
        <w:rPr>
          <w:rFonts w:hint="eastAsia"/>
        </w:rPr>
        <w:t>：</w:t>
      </w:r>
      <w:r w:rsidR="00924156">
        <w:rPr>
          <w:rFonts w:hint="eastAsia"/>
        </w:rPr>
        <w:t>权限</w:t>
      </w:r>
      <w:r w:rsidR="00924156">
        <w:t>管理</w:t>
      </w:r>
      <w:r>
        <w:rPr>
          <w:rFonts w:hint="eastAsia"/>
        </w:rPr>
        <w:t>：</w:t>
      </w:r>
      <w:r w:rsidR="00924156">
        <w:rPr>
          <w:rFonts w:hint="eastAsia"/>
        </w:rPr>
        <w:t>有</w:t>
      </w:r>
    </w:p>
    <w:p w:rsidR="00B82F08" w:rsidRDefault="00BD50F2" w:rsidP="00641BD4">
      <w:pPr>
        <w:pStyle w:val="aa"/>
        <w:spacing w:line="300" w:lineRule="auto"/>
        <w:ind w:firstLineChars="0" w:firstLine="0"/>
      </w:pPr>
      <w:r>
        <w:rPr>
          <w:rFonts w:hint="eastAsia"/>
        </w:rPr>
        <w:t>1</w:t>
      </w:r>
      <w:r w:rsidR="00232B58">
        <w:t>2</w:t>
      </w:r>
      <w:r>
        <w:rPr>
          <w:rFonts w:hint="eastAsia"/>
        </w:rPr>
        <w:t>：配有专业微生物生长监测软件，对</w:t>
      </w:r>
      <w:proofErr w:type="gramStart"/>
      <w:r>
        <w:rPr>
          <w:rFonts w:hint="eastAsia"/>
        </w:rPr>
        <w:t>不同比色管内</w:t>
      </w:r>
      <w:proofErr w:type="gramEnd"/>
      <w:r>
        <w:rPr>
          <w:rFonts w:hint="eastAsia"/>
        </w:rPr>
        <w:t>的微生物进行监测，自动生成曲线；通过软件对主机进行控制，测量数据直接保存在电脑。</w:t>
      </w:r>
    </w:p>
    <w:p w:rsidR="00B82F08" w:rsidRDefault="00BD50F2" w:rsidP="00641BD4">
      <w:pPr>
        <w:pStyle w:val="aa"/>
        <w:spacing w:line="300" w:lineRule="auto"/>
        <w:ind w:firstLineChars="0" w:firstLine="0"/>
      </w:pPr>
      <w:r>
        <w:rPr>
          <w:rFonts w:hint="eastAsia"/>
        </w:rPr>
        <w:t>1</w:t>
      </w:r>
      <w:r w:rsidR="00232B58">
        <w:t>3</w:t>
      </w:r>
      <w:r>
        <w:rPr>
          <w:rFonts w:hint="eastAsia"/>
        </w:rPr>
        <w:t>：输入电源：</w:t>
      </w:r>
      <w:r w:rsidR="00924156">
        <w:rPr>
          <w:rFonts w:hint="eastAsia"/>
        </w:rPr>
        <w:t>AC</w:t>
      </w:r>
      <w:r w:rsidR="009850F9">
        <w:t xml:space="preserve"> </w:t>
      </w:r>
      <w:r w:rsidR="00924156">
        <w:rPr>
          <w:rFonts w:hint="eastAsia"/>
        </w:rPr>
        <w:t>220V/50</w:t>
      </w:r>
      <w:r>
        <w:rPr>
          <w:rFonts w:hint="eastAsia"/>
        </w:rPr>
        <w:t>Hz。</w:t>
      </w:r>
    </w:p>
    <w:sectPr w:rsidR="00B82F08">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94" w:footer="1077" w:gutter="0"/>
      <w:cols w:space="425"/>
      <w:docGrid w:type="lines" w:linePitch="423"/>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1EDF" w:rsidRDefault="00CE1EDF">
      <w:r>
        <w:separator/>
      </w:r>
    </w:p>
  </w:endnote>
  <w:endnote w:type="continuationSeparator" w:id="0">
    <w:p w:rsidR="00CE1EDF" w:rsidRDefault="00CE1E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Songti SC">
    <w:altName w:val="宋体"/>
    <w:charset w:val="86"/>
    <w:family w:val="auto"/>
    <w:pitch w:val="default"/>
    <w:sig w:usb0="00000000" w:usb1="00000000" w:usb2="00000010" w:usb3="00000000" w:csb0="0004009F" w:csb1="00000000"/>
  </w:font>
  <w:font w:name="等线">
    <w:altName w:val="DengXian"/>
    <w:panose1 w:val="02010600030101010101"/>
    <w:charset w:val="86"/>
    <w:family w:val="auto"/>
    <w:pitch w:val="variable"/>
    <w:sig w:usb0="A00002BF" w:usb1="38CF7CFA" w:usb2="00000016" w:usb3="00000000" w:csb0="0004000F" w:csb1="00000000"/>
  </w:font>
  <w:font w:name="SourceHanSansCN-Bold-Identity-H">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08" w:rsidRDefault="00B82F08">
    <w:pPr>
      <w:pStyle w:val="a3"/>
      <w:ind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08" w:rsidRDefault="00CE1EDF">
    <w:pPr>
      <w:ind w:firstLine="360"/>
      <w:jc w:val="right"/>
      <w:rPr>
        <w:sz w:val="18"/>
        <w:szCs w:val="18"/>
      </w:rPr>
    </w:pPr>
    <w:sdt>
      <w:sdtPr>
        <w:rPr>
          <w:b/>
          <w:bCs/>
          <w:color w:val="00AAAB"/>
          <w:sz w:val="18"/>
          <w:szCs w:val="18"/>
        </w:rPr>
        <w:alias w:val="作者"/>
        <w:id w:val="-1313864547"/>
        <w:dataBinding w:prefixMappings="xmlns:ns0='http://purl.org/dc/elements/1.1/' xmlns:ns1='http://schemas.openxmlformats.org/package/2006/metadata/core-properties' " w:xpath="/ns1:coreProperties[1]/ns0:creator[1]" w:storeItemID="{6C3C8BC8-F283-45AE-878A-BAB7291924A1}"/>
        <w:text/>
      </w:sdtPr>
      <w:sdtEndPr/>
      <w:sdtContent>
        <w:r w:rsidR="00BD50F2">
          <w:rPr>
            <w:rFonts w:hint="eastAsia"/>
            <w:b/>
            <w:bCs/>
            <w:color w:val="00AAAB"/>
            <w:sz w:val="18"/>
            <w:szCs w:val="18"/>
          </w:rPr>
          <w:t>宁波新芝生物科技股份有限公司</w:t>
        </w:r>
      </w:sdtContent>
    </w:sdt>
  </w:p>
  <w:p w:rsidR="00B82F08" w:rsidRDefault="00BD50F2">
    <w:pPr>
      <w:wordWrap w:val="0"/>
      <w:ind w:firstLine="240"/>
      <w:jc w:val="right"/>
      <w:rPr>
        <w:color w:val="404040" w:themeColor="text1" w:themeTint="BF"/>
        <w:sz w:val="12"/>
        <w:szCs w:val="12"/>
      </w:rPr>
    </w:pPr>
    <w:r>
      <w:rPr>
        <w:rFonts w:hint="eastAsia"/>
        <w:color w:val="404040" w:themeColor="text1" w:themeTint="BF"/>
        <w:sz w:val="12"/>
        <w:szCs w:val="12"/>
      </w:rPr>
      <w:t>NINGBO</w:t>
    </w:r>
    <w:r>
      <w:rPr>
        <w:color w:val="404040" w:themeColor="text1" w:themeTint="BF"/>
        <w:sz w:val="12"/>
        <w:szCs w:val="12"/>
      </w:rPr>
      <w:t xml:space="preserve"> </w:t>
    </w:r>
    <w:r>
      <w:rPr>
        <w:rFonts w:hint="eastAsia"/>
        <w:color w:val="404040" w:themeColor="text1" w:themeTint="BF"/>
        <w:sz w:val="12"/>
        <w:szCs w:val="12"/>
      </w:rPr>
      <w:t>SCIENTZ</w:t>
    </w:r>
    <w:r>
      <w:rPr>
        <w:color w:val="404040" w:themeColor="text1" w:themeTint="BF"/>
        <w:sz w:val="12"/>
        <w:szCs w:val="12"/>
      </w:rPr>
      <w:t xml:space="preserve"> </w:t>
    </w:r>
    <w:r>
      <w:rPr>
        <w:rFonts w:hint="eastAsia"/>
        <w:color w:val="404040" w:themeColor="text1" w:themeTint="BF"/>
        <w:sz w:val="12"/>
        <w:szCs w:val="12"/>
      </w:rPr>
      <w:t>BIOTECHNOLOGY</w:t>
    </w:r>
    <w:r>
      <w:rPr>
        <w:color w:val="404040" w:themeColor="text1" w:themeTint="BF"/>
        <w:sz w:val="12"/>
        <w:szCs w:val="12"/>
      </w:rPr>
      <w:t xml:space="preserve"> </w:t>
    </w:r>
    <w:r>
      <w:rPr>
        <w:rFonts w:hint="eastAsia"/>
        <w:color w:val="404040" w:themeColor="text1" w:themeTint="BF"/>
        <w:sz w:val="12"/>
        <w:szCs w:val="12"/>
      </w:rPr>
      <w:t>CO</w:t>
    </w:r>
    <w:r>
      <w:rPr>
        <w:color w:val="404040" w:themeColor="text1" w:themeTint="BF"/>
        <w:sz w:val="12"/>
        <w:szCs w:val="12"/>
      </w:rPr>
      <w:t>., LTD</w:t>
    </w:r>
  </w:p>
  <w:p w:rsidR="00B82F08" w:rsidRDefault="00BD50F2">
    <w:pPr>
      <w:ind w:firstLine="280"/>
      <w:jc w:val="right"/>
      <w:rPr>
        <w:color w:val="404040" w:themeColor="text1" w:themeTint="BF"/>
        <w:sz w:val="14"/>
        <w:szCs w:val="14"/>
      </w:rPr>
    </w:pPr>
    <w:r>
      <w:rPr>
        <w:rFonts w:hint="eastAsia"/>
        <w:color w:val="404040" w:themeColor="text1" w:themeTint="BF"/>
        <w:sz w:val="14"/>
        <w:szCs w:val="14"/>
      </w:rPr>
      <w:t>商务服务热线</w:t>
    </w:r>
    <w:r>
      <w:rPr>
        <w:rFonts w:hint="eastAsia"/>
        <w:sz w:val="14"/>
        <w:szCs w:val="14"/>
      </w:rPr>
      <w:t xml:space="preserve"> </w:t>
    </w:r>
    <w:r>
      <w:rPr>
        <w:color w:val="404040" w:themeColor="text1" w:themeTint="BF"/>
        <w:sz w:val="14"/>
        <w:szCs w:val="14"/>
      </w:rPr>
      <w:t>0574-87134807</w:t>
    </w:r>
  </w:p>
  <w:p w:rsidR="00B82F08" w:rsidRDefault="00BD50F2">
    <w:pPr>
      <w:ind w:firstLine="280"/>
      <w:jc w:val="right"/>
      <w:rPr>
        <w:color w:val="404040" w:themeColor="text1" w:themeTint="BF"/>
        <w:sz w:val="14"/>
        <w:szCs w:val="14"/>
      </w:rPr>
    </w:pPr>
    <w:r>
      <w:rPr>
        <w:color w:val="404040" w:themeColor="text1" w:themeTint="BF"/>
        <w:sz w:val="14"/>
        <w:szCs w:val="14"/>
      </w:rPr>
      <w:t>87133995</w:t>
    </w:r>
    <w:r>
      <w:rPr>
        <w:rFonts w:hint="eastAsia"/>
        <w:color w:val="404040" w:themeColor="text1" w:themeTint="BF"/>
        <w:sz w:val="14"/>
        <w:szCs w:val="14"/>
      </w:rPr>
      <w:t>、</w:t>
    </w:r>
    <w:r>
      <w:rPr>
        <w:color w:val="404040" w:themeColor="text1" w:themeTint="BF"/>
        <w:sz w:val="14"/>
        <w:szCs w:val="14"/>
      </w:rPr>
      <w:t>56202593</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08" w:rsidRDefault="00B82F08">
    <w:pPr>
      <w:pStyle w:val="a3"/>
      <w:ind w:firstLine="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1EDF" w:rsidRDefault="00CE1EDF">
      <w:r>
        <w:separator/>
      </w:r>
    </w:p>
  </w:footnote>
  <w:footnote w:type="continuationSeparator" w:id="0">
    <w:p w:rsidR="00CE1EDF" w:rsidRDefault="00CE1ED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08" w:rsidRDefault="00B82F08">
    <w:pPr>
      <w:pStyle w:val="a5"/>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08" w:rsidRDefault="00BD50F2">
    <w:pPr>
      <w:ind w:firstLine="320"/>
      <w:jc w:val="right"/>
      <w:rPr>
        <w:color w:val="404040" w:themeColor="text1" w:themeTint="BF"/>
      </w:rPr>
    </w:pPr>
    <w:r>
      <w:rPr>
        <w:noProof/>
        <w:color w:val="44546A" w:themeColor="text2"/>
      </w:rPr>
      <w:drawing>
        <wp:anchor distT="0" distB="0" distL="114300" distR="114300" simplePos="0" relativeHeight="251658240" behindDoc="0" locked="0" layoutInCell="1" allowOverlap="1">
          <wp:simplePos x="0" y="0"/>
          <wp:positionH relativeFrom="column">
            <wp:posOffset>-48895</wp:posOffset>
          </wp:positionH>
          <wp:positionV relativeFrom="paragraph">
            <wp:posOffset>-57785</wp:posOffset>
          </wp:positionV>
          <wp:extent cx="687705" cy="532765"/>
          <wp:effectExtent l="0" t="0" r="0" b="635"/>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87600" cy="532800"/>
                  </a:xfrm>
                  <a:prstGeom prst="rect">
                    <a:avLst/>
                  </a:prstGeom>
                </pic:spPr>
              </pic:pic>
            </a:graphicData>
          </a:graphic>
        </wp:anchor>
      </w:drawing>
    </w:r>
    <w:r>
      <w:rPr>
        <w:color w:val="44546A" w:themeColor="text2"/>
      </w:rPr>
      <w:ptab w:relativeTo="margin" w:alignment="center" w:leader="none"/>
    </w:r>
    <w:r>
      <w:rPr>
        <w:rFonts w:hint="eastAsia"/>
        <w:b/>
        <w:bCs/>
        <w:color w:val="00ACAC"/>
        <w:sz w:val="28"/>
        <w:szCs w:val="28"/>
      </w:rPr>
      <w:t>4</w:t>
    </w:r>
    <w:r>
      <w:rPr>
        <w:b/>
        <w:bCs/>
        <w:color w:val="00ACAC"/>
        <w:sz w:val="28"/>
        <w:szCs w:val="28"/>
      </w:rPr>
      <w:t>008-122-088</w:t>
    </w:r>
  </w:p>
  <w:p w:rsidR="00B82F08" w:rsidRDefault="00BD50F2">
    <w:pPr>
      <w:ind w:firstLine="320"/>
      <w:jc w:val="right"/>
      <w:rPr>
        <w:color w:val="404040" w:themeColor="text1" w:themeTint="BF"/>
        <w:sz w:val="16"/>
        <w:szCs w:val="16"/>
      </w:rPr>
    </w:pPr>
    <w:r>
      <w:rPr>
        <w:rFonts w:hint="eastAsia"/>
        <w:color w:val="404040" w:themeColor="text1" w:themeTint="BF"/>
        <w:sz w:val="16"/>
        <w:szCs w:val="16"/>
      </w:rPr>
      <w:t>宁波市高新区</w:t>
    </w:r>
    <w:proofErr w:type="gramStart"/>
    <w:r>
      <w:rPr>
        <w:rFonts w:hint="eastAsia"/>
        <w:color w:val="404040" w:themeColor="text1" w:themeTint="BF"/>
        <w:sz w:val="16"/>
        <w:szCs w:val="16"/>
      </w:rPr>
      <w:t>木槿路</w:t>
    </w:r>
    <w:proofErr w:type="gramEnd"/>
    <w:r>
      <w:rPr>
        <w:rFonts w:hint="eastAsia"/>
        <w:color w:val="404040" w:themeColor="text1" w:themeTint="BF"/>
        <w:sz w:val="16"/>
        <w:szCs w:val="16"/>
      </w:rPr>
      <w:t>6</w:t>
    </w:r>
    <w:r>
      <w:rPr>
        <w:color w:val="404040" w:themeColor="text1" w:themeTint="BF"/>
        <w:sz w:val="16"/>
        <w:szCs w:val="16"/>
      </w:rPr>
      <w:t>5</w:t>
    </w:r>
    <w:r>
      <w:rPr>
        <w:rFonts w:hint="eastAsia"/>
        <w:color w:val="404040" w:themeColor="text1" w:themeTint="BF"/>
        <w:sz w:val="16"/>
        <w:szCs w:val="16"/>
      </w:rPr>
      <w:t>号</w:t>
    </w:r>
  </w:p>
  <w:p w:rsidR="00B82F08" w:rsidRDefault="00BD50F2">
    <w:pPr>
      <w:ind w:right="80" w:firstLine="320"/>
      <w:jc w:val="right"/>
      <w:rPr>
        <w:color w:val="404040" w:themeColor="text1" w:themeTint="BF"/>
        <w:sz w:val="18"/>
        <w:szCs w:val="18"/>
      </w:rPr>
    </w:pPr>
    <w:r>
      <w:rPr>
        <w:color w:val="404040" w:themeColor="text1" w:themeTint="BF"/>
        <w:sz w:val="18"/>
        <w:szCs w:val="18"/>
      </w:rPr>
      <w:t xml:space="preserve"> web:www.scientz.com </w:t>
    </w:r>
  </w:p>
  <w:p w:rsidR="00B82F08" w:rsidRDefault="00BD50F2">
    <w:pPr>
      <w:wordWrap w:val="0"/>
      <w:ind w:right="560" w:firstLine="320"/>
      <w:jc w:val="right"/>
      <w:rPr>
        <w:color w:val="404040" w:themeColor="text1" w:themeTint="BF"/>
        <w:sz w:val="16"/>
        <w:szCs w:val="16"/>
      </w:rPr>
    </w:pPr>
    <w:r>
      <w:rPr>
        <w:color w:val="404040" w:themeColor="text1" w:themeTint="BF"/>
        <w:sz w:val="16"/>
        <w:szCs w:val="16"/>
      </w:rP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2F08" w:rsidRDefault="00B82F08">
    <w:pPr>
      <w:pStyle w:val="a5"/>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AF46DB"/>
    <w:multiLevelType w:val="hybridMultilevel"/>
    <w:tmpl w:val="8B12B3B8"/>
    <w:lvl w:ilvl="0" w:tplc="24D68A2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3784D3E"/>
    <w:multiLevelType w:val="multilevel"/>
    <w:tmpl w:val="63784D3E"/>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bordersDoNotSurroundHeader/>
  <w:bordersDoNotSurroundFooter/>
  <w:hideSpellingErrors/>
  <w:hideGrammaticalErrors/>
  <w:proofState w:spelling="clean" w:grammar="clean"/>
  <w:defaultTabStop w:val="420"/>
  <w:drawingGridHorizontalSpacing w:val="120"/>
  <w:drawingGridVerticalSpacing w:val="423"/>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2CC"/>
    <w:rsid w:val="00022BD1"/>
    <w:rsid w:val="0003382E"/>
    <w:rsid w:val="000809B2"/>
    <w:rsid w:val="000C3536"/>
    <w:rsid w:val="00105B8E"/>
    <w:rsid w:val="00220B97"/>
    <w:rsid w:val="00220E5D"/>
    <w:rsid w:val="00232B58"/>
    <w:rsid w:val="002C0B14"/>
    <w:rsid w:val="00377C0E"/>
    <w:rsid w:val="00391ED3"/>
    <w:rsid w:val="00402B2F"/>
    <w:rsid w:val="004477CA"/>
    <w:rsid w:val="004B707D"/>
    <w:rsid w:val="00506E42"/>
    <w:rsid w:val="00544770"/>
    <w:rsid w:val="00576BE9"/>
    <w:rsid w:val="005C738E"/>
    <w:rsid w:val="00633A30"/>
    <w:rsid w:val="00641BD4"/>
    <w:rsid w:val="00667C16"/>
    <w:rsid w:val="006D579F"/>
    <w:rsid w:val="007063F9"/>
    <w:rsid w:val="00714932"/>
    <w:rsid w:val="00742A15"/>
    <w:rsid w:val="0083486F"/>
    <w:rsid w:val="008F37E2"/>
    <w:rsid w:val="00924156"/>
    <w:rsid w:val="00961100"/>
    <w:rsid w:val="009676FC"/>
    <w:rsid w:val="00976954"/>
    <w:rsid w:val="00983232"/>
    <w:rsid w:val="009850F9"/>
    <w:rsid w:val="00994D5F"/>
    <w:rsid w:val="00A3625A"/>
    <w:rsid w:val="00A6597C"/>
    <w:rsid w:val="00A67336"/>
    <w:rsid w:val="00AB5261"/>
    <w:rsid w:val="00AD2908"/>
    <w:rsid w:val="00B066DE"/>
    <w:rsid w:val="00B0785C"/>
    <w:rsid w:val="00B82F08"/>
    <w:rsid w:val="00B94A04"/>
    <w:rsid w:val="00BA30BB"/>
    <w:rsid w:val="00BA7569"/>
    <w:rsid w:val="00BB0B03"/>
    <w:rsid w:val="00BD50F2"/>
    <w:rsid w:val="00C06D58"/>
    <w:rsid w:val="00C14915"/>
    <w:rsid w:val="00C30C2D"/>
    <w:rsid w:val="00C35E40"/>
    <w:rsid w:val="00CE1EDF"/>
    <w:rsid w:val="00D259E5"/>
    <w:rsid w:val="00D331E3"/>
    <w:rsid w:val="00D4363E"/>
    <w:rsid w:val="00D756CC"/>
    <w:rsid w:val="00DA1AEC"/>
    <w:rsid w:val="00E85D89"/>
    <w:rsid w:val="00FA12CC"/>
    <w:rsid w:val="00FB14BA"/>
    <w:rsid w:val="073F6773"/>
    <w:rsid w:val="081204C7"/>
    <w:rsid w:val="17947AFF"/>
    <w:rsid w:val="277706AE"/>
    <w:rsid w:val="30117141"/>
    <w:rsid w:val="374C4866"/>
    <w:rsid w:val="3E2E7493"/>
    <w:rsid w:val="3F0136B0"/>
    <w:rsid w:val="46A227AF"/>
    <w:rsid w:val="4EA12919"/>
    <w:rsid w:val="5DD569C8"/>
    <w:rsid w:val="61C75B20"/>
    <w:rsid w:val="6F94786B"/>
    <w:rsid w:val="70911430"/>
    <w:rsid w:val="77EF3B80"/>
    <w:rsid w:val="7A5D1B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544B39"/>
  <w14:defaultImageDpi w14:val="32767"/>
  <w15:docId w15:val="{50CBDD94-ADD1-49BA-9709-93CBC9E39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宋体" w:hAnsi="宋体" w:cs="宋体"/>
      <w:sz w:val="24"/>
      <w:szCs w:val="24"/>
    </w:rPr>
  </w:style>
  <w:style w:type="paragraph" w:styleId="1">
    <w:name w:val="heading 1"/>
    <w:basedOn w:val="a"/>
    <w:next w:val="a"/>
    <w:link w:val="10"/>
    <w:qFormat/>
    <w:pPr>
      <w:keepNext/>
      <w:widowControl w:val="0"/>
      <w:spacing w:line="360" w:lineRule="auto"/>
      <w:ind w:leftChars="-51" w:left="28" w:hangingChars="45" w:hanging="135"/>
      <w:jc w:val="center"/>
      <w:outlineLvl w:val="0"/>
    </w:pPr>
    <w:rPr>
      <w:rFonts w:ascii="Times New Roman" w:hAnsi="Times New Roman" w:cs="Times New Roman"/>
      <w:b/>
      <w:color w:val="000000"/>
      <w:kern w:val="2"/>
      <w:sz w:val="32"/>
      <w:szCs w:val="20"/>
    </w:rPr>
  </w:style>
  <w:style w:type="paragraph" w:styleId="2">
    <w:name w:val="heading 2"/>
    <w:basedOn w:val="a"/>
    <w:next w:val="a"/>
    <w:link w:val="20"/>
    <w:uiPriority w:val="9"/>
    <w:unhideWhenUsed/>
    <w:qFormat/>
    <w:pPr>
      <w:keepNext/>
      <w:keepLines/>
      <w:widowControl w:val="0"/>
      <w:spacing w:before="260" w:after="260" w:line="416" w:lineRule="auto"/>
      <w:ind w:firstLineChars="200" w:firstLine="200"/>
      <w:jc w:val="both"/>
      <w:outlineLvl w:val="1"/>
    </w:pPr>
    <w:rPr>
      <w:rFonts w:asciiTheme="majorHAnsi" w:eastAsia="Songti SC" w:hAnsiTheme="majorHAnsi" w:cstheme="majorBidi"/>
      <w:b/>
      <w:bCs/>
      <w:color w:val="00ACAC"/>
      <w:kern w:val="2"/>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widowControl w:val="0"/>
      <w:tabs>
        <w:tab w:val="center" w:pos="4153"/>
        <w:tab w:val="right" w:pos="8306"/>
      </w:tabs>
      <w:snapToGrid w:val="0"/>
      <w:spacing w:line="360" w:lineRule="auto"/>
      <w:ind w:firstLineChars="200" w:firstLine="200"/>
    </w:pPr>
    <w:rPr>
      <w:rFonts w:asciiTheme="minorHAnsi" w:eastAsiaTheme="minorEastAsia" w:hAnsiTheme="minorHAnsi" w:cstheme="minorBidi"/>
      <w:kern w:val="2"/>
      <w:sz w:val="18"/>
      <w:szCs w:val="18"/>
    </w:rPr>
  </w:style>
  <w:style w:type="paragraph" w:styleId="a5">
    <w:name w:val="header"/>
    <w:basedOn w:val="a"/>
    <w:link w:val="a6"/>
    <w:uiPriority w:val="99"/>
    <w:unhideWhenUsed/>
    <w:qFormat/>
    <w:pPr>
      <w:widowControl w:val="0"/>
      <w:pBdr>
        <w:bottom w:val="single" w:sz="6" w:space="1" w:color="auto"/>
      </w:pBdr>
      <w:tabs>
        <w:tab w:val="center" w:pos="4153"/>
        <w:tab w:val="right" w:pos="8306"/>
      </w:tabs>
      <w:snapToGrid w:val="0"/>
      <w:spacing w:line="360" w:lineRule="auto"/>
      <w:ind w:firstLineChars="200" w:firstLine="200"/>
      <w:jc w:val="center"/>
    </w:pPr>
    <w:rPr>
      <w:rFonts w:asciiTheme="minorHAnsi" w:eastAsiaTheme="minorEastAsia" w:hAnsiTheme="minorHAnsi" w:cstheme="minorBidi"/>
      <w:kern w:val="2"/>
      <w:sz w:val="18"/>
      <w:szCs w:val="18"/>
    </w:rPr>
  </w:style>
  <w:style w:type="paragraph" w:styleId="a7">
    <w:name w:val="Normal (Web)"/>
    <w:basedOn w:val="a"/>
    <w:uiPriority w:val="99"/>
    <w:semiHidden/>
    <w:unhideWhenUsed/>
    <w:qFormat/>
    <w:pPr>
      <w:spacing w:beforeAutospacing="1" w:afterAutospacing="1"/>
    </w:pPr>
    <w:rPr>
      <w:rFonts w:cs="Times New Roman"/>
    </w:rPr>
  </w:style>
  <w:style w:type="character" w:styleId="a8">
    <w:name w:val="Strong"/>
    <w:basedOn w:val="a0"/>
    <w:uiPriority w:val="22"/>
    <w:qFormat/>
    <w:rPr>
      <w:b/>
    </w:rPr>
  </w:style>
  <w:style w:type="character" w:styleId="a9">
    <w:name w:val="Hyperlink"/>
    <w:basedOn w:val="a0"/>
    <w:uiPriority w:val="99"/>
    <w:unhideWhenUsed/>
    <w:qFormat/>
    <w:rPr>
      <w:color w:val="0563C1" w:themeColor="hyperlink"/>
      <w:u w:val="single"/>
    </w:r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customStyle="1" w:styleId="11">
    <w:name w:val="占位符文本1"/>
    <w:basedOn w:val="a0"/>
    <w:uiPriority w:val="99"/>
    <w:semiHidden/>
    <w:qFormat/>
    <w:rPr>
      <w:color w:val="808080"/>
    </w:rPr>
  </w:style>
  <w:style w:type="character" w:customStyle="1" w:styleId="10">
    <w:name w:val="标题 1 字符"/>
    <w:basedOn w:val="a0"/>
    <w:link w:val="1"/>
    <w:qFormat/>
    <w:rPr>
      <w:rFonts w:ascii="Times New Roman" w:eastAsia="宋体" w:hAnsi="Times New Roman" w:cs="Times New Roman"/>
      <w:b/>
      <w:color w:val="000000"/>
      <w:sz w:val="32"/>
      <w:szCs w:val="20"/>
    </w:rPr>
  </w:style>
  <w:style w:type="character" w:customStyle="1" w:styleId="20">
    <w:name w:val="标题 2 字符"/>
    <w:basedOn w:val="a0"/>
    <w:link w:val="2"/>
    <w:uiPriority w:val="9"/>
    <w:qFormat/>
    <w:rPr>
      <w:rFonts w:asciiTheme="majorHAnsi" w:eastAsia="Songti SC" w:hAnsiTheme="majorHAnsi" w:cstheme="majorBidi"/>
      <w:b/>
      <w:bCs/>
      <w:color w:val="00ACAC"/>
      <w:sz w:val="28"/>
      <w:szCs w:val="32"/>
    </w:rPr>
  </w:style>
  <w:style w:type="paragraph" w:styleId="aa">
    <w:name w:val="List Paragraph"/>
    <w:basedOn w:val="a"/>
    <w:uiPriority w:val="34"/>
    <w:qFormat/>
    <w:pPr>
      <w:ind w:firstLineChars="200" w:firstLine="420"/>
    </w:pPr>
  </w:style>
  <w:style w:type="character" w:customStyle="1" w:styleId="12">
    <w:name w:val="未处理的提及1"/>
    <w:basedOn w:val="a0"/>
    <w:uiPriority w:val="99"/>
    <w:qFormat/>
    <w:rPr>
      <w:color w:val="605E5C"/>
      <w:shd w:val="clear" w:color="auto" w:fill="E1DFDD"/>
    </w:rPr>
  </w:style>
  <w:style w:type="character" w:customStyle="1" w:styleId="fontstyle01">
    <w:name w:val="fontstyle01"/>
    <w:basedOn w:val="a0"/>
    <w:rsid w:val="0003382E"/>
    <w:rPr>
      <w:rFonts w:ascii="SourceHanSansCN-Bold-Identity-H" w:hAnsi="SourceHanSansCN-Bold-Identity-H" w:hint="default"/>
      <w:b/>
      <w:bCs/>
      <w:i w:val="0"/>
      <w:iCs w:val="0"/>
      <w:color w:val="00A2A3"/>
      <w:sz w:val="18"/>
      <w:szCs w:val="18"/>
    </w:rPr>
  </w:style>
  <w:style w:type="character" w:customStyle="1" w:styleId="fontstyle21">
    <w:name w:val="fontstyle21"/>
    <w:basedOn w:val="a0"/>
    <w:rsid w:val="0003382E"/>
    <w:rPr>
      <w:b w:val="0"/>
      <w:bCs w:val="0"/>
      <w:i w:val="0"/>
      <w:iCs w:val="0"/>
      <w:color w:val="00A2A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E61ED65-0DB7-474F-BC03-22B3C6B5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2</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宁波新芝生物科技股份有限公司</dc:creator>
  <cp:lastModifiedBy>Kelvin</cp:lastModifiedBy>
  <cp:revision>26</cp:revision>
  <cp:lastPrinted>2019-10-17T06:15:00Z</cp:lastPrinted>
  <dcterms:created xsi:type="dcterms:W3CDTF">2019-10-17T06:02:00Z</dcterms:created>
  <dcterms:modified xsi:type="dcterms:W3CDTF">2022-10-27T07:55:00Z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